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934FC">
      <w:pPr>
        <w:spacing w:after="40" w:line="288" w:lineRule="auto"/>
        <w:jc w:val="center"/>
        <w:rPr>
          <w:b/>
          <w:bCs/>
          <w:sz w:val="28"/>
          <w:szCs w:val="28"/>
        </w:rPr>
      </w:pPr>
      <w:bookmarkStart w:id="0" w:name="_GoBack"/>
      <w:bookmarkEnd w:id="0"/>
      <w:r>
        <w:rPr>
          <w:b/>
          <w:bCs/>
          <w:sz w:val="28"/>
          <w:szCs w:val="28"/>
        </w:rPr>
        <w:t xml:space="preserve">PHIẾU LẤY Ý KIẾN:  </w:t>
      </w:r>
    </w:p>
    <w:p w14:paraId="1692788C">
      <w:pPr>
        <w:spacing w:after="40" w:line="288" w:lineRule="auto"/>
        <w:jc w:val="center"/>
      </w:pPr>
      <w:r>
        <w:rPr>
          <w:b/>
          <w:bCs/>
        </w:rPr>
        <w:t xml:space="preserve"> BÀI TOÁN SỐ 7</w:t>
      </w:r>
      <w:r>
        <w:t xml:space="preserve"> </w:t>
      </w:r>
      <w:r>
        <w:rPr>
          <w:b/>
          <w:bCs/>
          <w:sz w:val="24"/>
          <w:szCs w:val="24"/>
        </w:rPr>
        <w:t>PHÁT HIỆN, ĐÀO TẠO VÀ THU HÚT NHÂN TÀI KHOA HỌC, CÔNG NGHỆ</w:t>
      </w:r>
    </w:p>
    <w:p w14:paraId="0C2753E7">
      <w:pPr>
        <w:spacing w:before="40" w:after="120" w:line="288" w:lineRule="auto"/>
        <w:jc w:val="both"/>
        <w:rPr>
          <w:sz w:val="28"/>
          <w:szCs w:val="28"/>
        </w:rPr>
      </w:pPr>
      <w:r>
        <w:rPr>
          <w:sz w:val="28"/>
          <w:szCs w:val="28"/>
        </w:rPr>
        <w:t>Tên tổ chức đơn vị tham gia ý kiến:</w:t>
      </w:r>
    </w:p>
    <w:p w14:paraId="5BCA6B81">
      <w:pPr>
        <w:spacing w:before="40" w:after="120" w:line="288" w:lineRule="auto"/>
        <w:jc w:val="both"/>
        <w:rPr>
          <w:sz w:val="28"/>
          <w:szCs w:val="28"/>
        </w:rPr>
      </w:pPr>
      <w:r>
        <w:rPr>
          <w:sz w:val="28"/>
          <w:szCs w:val="28"/>
        </w:rPr>
        <w:t>Họ và tên người tham gia ý kiến:</w:t>
      </w:r>
    </w:p>
    <w:p w14:paraId="7F8B229B">
      <w:pPr>
        <w:pStyle w:val="17"/>
        <w:numPr>
          <w:ilvl w:val="0"/>
          <w:numId w:val="1"/>
        </w:numPr>
        <w:spacing w:before="20" w:after="20" w:line="264" w:lineRule="auto"/>
        <w:jc w:val="both"/>
        <w:rPr>
          <w:sz w:val="28"/>
          <w:szCs w:val="28"/>
        </w:rPr>
      </w:pPr>
      <w:r>
        <w:rPr>
          <w:sz w:val="28"/>
          <w:szCs w:val="28"/>
        </w:rPr>
        <w:t>Số điện thoại liên hệ:</w:t>
      </w:r>
    </w:p>
    <w:tbl>
      <w:tblPr>
        <w:tblStyle w:val="9"/>
        <w:tblW w:w="139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53"/>
        <w:gridCol w:w="6026"/>
        <w:gridCol w:w="5814"/>
      </w:tblGrid>
      <w:tr w14:paraId="4B6F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53"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17BB7FFC">
            <w:pPr>
              <w:spacing w:before="20" w:after="20" w:line="264" w:lineRule="auto"/>
            </w:pPr>
          </w:p>
        </w:tc>
        <w:tc>
          <w:tcPr>
            <w:tcW w:w="6026"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0F299AC6">
            <w:pPr>
              <w:pStyle w:val="17"/>
              <w:spacing w:before="20" w:after="20" w:line="264" w:lineRule="auto"/>
              <w:ind w:left="200"/>
              <w:jc w:val="both"/>
              <w:rPr>
                <w:sz w:val="24"/>
                <w:szCs w:val="24"/>
              </w:rPr>
            </w:pPr>
          </w:p>
        </w:tc>
        <w:tc>
          <w:tcPr>
            <w:tcW w:w="5814" w:type="dxa"/>
            <w:tcBorders>
              <w:top w:val="single" w:color="000000" w:sz="4" w:space="0"/>
              <w:left w:val="single" w:color="000000" w:sz="4" w:space="0"/>
              <w:bottom w:val="single" w:color="000000" w:sz="4" w:space="0"/>
              <w:right w:val="single" w:color="000000" w:sz="4" w:space="0"/>
            </w:tcBorders>
          </w:tcPr>
          <w:p w14:paraId="4A23688F">
            <w:pPr>
              <w:spacing w:before="20" w:after="20" w:line="264" w:lineRule="auto"/>
              <w:jc w:val="center"/>
              <w:rPr>
                <w:sz w:val="24"/>
                <w:szCs w:val="24"/>
              </w:rPr>
            </w:pPr>
            <w:r>
              <w:rPr>
                <w:b/>
                <w:bCs/>
                <w:sz w:val="24"/>
                <w:szCs w:val="24"/>
              </w:rPr>
              <w:t>Ý kiến tham gia</w:t>
            </w:r>
          </w:p>
        </w:tc>
      </w:tr>
      <w:tr w14:paraId="44C4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53"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7E3F0FBE">
            <w:pPr>
              <w:spacing w:before="20" w:after="20" w:line="264" w:lineRule="auto"/>
            </w:pPr>
            <w:r>
              <w:rPr>
                <w:b/>
                <w:bCs/>
                <w:sz w:val="24"/>
                <w:szCs w:val="24"/>
              </w:rPr>
              <w:t>1. Vấn đề</w:t>
            </w:r>
          </w:p>
        </w:tc>
        <w:tc>
          <w:tcPr>
            <w:tcW w:w="6026"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544BE149">
            <w:pPr>
              <w:pStyle w:val="17"/>
              <w:numPr>
                <w:ilvl w:val="0"/>
                <w:numId w:val="1"/>
              </w:numPr>
              <w:spacing w:before="20" w:after="20" w:line="264" w:lineRule="auto"/>
              <w:jc w:val="both"/>
              <w:rPr>
                <w:sz w:val="24"/>
                <w:szCs w:val="24"/>
              </w:rPr>
            </w:pPr>
            <w:r>
              <w:rPr>
                <w:sz w:val="24"/>
                <w:szCs w:val="24"/>
              </w:rPr>
              <w:t>Thiếu nhân lực chất lượng cao cho các ngành bán dẫn, AI, logistics số, UAV.</w:t>
            </w:r>
          </w:p>
          <w:p w14:paraId="7E0E91B2">
            <w:pPr>
              <w:pStyle w:val="17"/>
              <w:numPr>
                <w:ilvl w:val="0"/>
                <w:numId w:val="1"/>
              </w:numPr>
              <w:spacing w:before="20" w:after="20" w:line="264" w:lineRule="auto"/>
              <w:rPr>
                <w:sz w:val="24"/>
                <w:szCs w:val="24"/>
              </w:rPr>
            </w:pPr>
            <w:r>
              <w:rPr>
                <w:sz w:val="24"/>
                <w:szCs w:val="24"/>
              </w:rPr>
              <w:t>Chưa có cơ chế phát hiện, nuôi dưỡng và giữ chân tài năng gắn với nhu cầu DN.</w:t>
            </w:r>
          </w:p>
        </w:tc>
        <w:tc>
          <w:tcPr>
            <w:tcW w:w="5814" w:type="dxa"/>
            <w:tcBorders>
              <w:top w:val="single" w:color="000000" w:sz="4" w:space="0"/>
              <w:left w:val="single" w:color="000000" w:sz="4" w:space="0"/>
              <w:bottom w:val="single" w:color="000000" w:sz="4" w:space="0"/>
              <w:right w:val="single" w:color="000000" w:sz="4" w:space="0"/>
            </w:tcBorders>
          </w:tcPr>
          <w:p w14:paraId="0FF85440">
            <w:pPr>
              <w:pStyle w:val="17"/>
              <w:spacing w:before="20" w:after="20" w:line="264" w:lineRule="auto"/>
              <w:ind w:left="200"/>
              <w:rPr>
                <w:sz w:val="24"/>
                <w:szCs w:val="24"/>
              </w:rPr>
            </w:pPr>
          </w:p>
        </w:tc>
      </w:tr>
      <w:tr w14:paraId="0D59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53"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4E2CFC61">
            <w:pPr>
              <w:spacing w:before="20" w:after="20" w:line="264" w:lineRule="auto"/>
            </w:pPr>
            <w:r>
              <w:rPr>
                <w:b/>
                <w:bCs/>
                <w:sz w:val="24"/>
                <w:szCs w:val="24"/>
              </w:rPr>
              <w:t>2. Quy mô (số liệu)</w:t>
            </w:r>
          </w:p>
        </w:tc>
        <w:tc>
          <w:tcPr>
            <w:tcW w:w="6026"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2EDAEDBB">
            <w:pPr>
              <w:pStyle w:val="17"/>
              <w:numPr>
                <w:ilvl w:val="0"/>
                <w:numId w:val="1"/>
              </w:numPr>
              <w:spacing w:before="20" w:after="20" w:line="264" w:lineRule="auto"/>
              <w:jc w:val="both"/>
              <w:rPr>
                <w:sz w:val="24"/>
                <w:szCs w:val="24"/>
              </w:rPr>
            </w:pPr>
            <w:r>
              <w:rPr>
                <w:sz w:val="24"/>
                <w:szCs w:val="24"/>
              </w:rPr>
              <w:t>KCN, KKT sử dụng hơn 360.000 lao động; nhu cầu tuyển dụng tháng 4/2026 trên 35.000 lao động, tập trung ở điện tử, cơ khí, công nghiệp hỗ trợ, dệt may, da giày (nguồn: BQL KKT).</w:t>
            </w:r>
          </w:p>
          <w:p w14:paraId="1FDEE645">
            <w:pPr>
              <w:pStyle w:val="17"/>
              <w:numPr>
                <w:ilvl w:val="0"/>
                <w:numId w:val="1"/>
              </w:numPr>
              <w:spacing w:before="20" w:after="20" w:line="264" w:lineRule="auto"/>
              <w:jc w:val="both"/>
              <w:rPr>
                <w:sz w:val="24"/>
                <w:szCs w:val="24"/>
              </w:rPr>
            </w:pPr>
            <w:r>
              <w:rPr>
                <w:sz w:val="24"/>
                <w:szCs w:val="24"/>
              </w:rPr>
              <w:t xml:space="preserve">Cả nước đặt mục tiêu đào tạo 50.000 kỹ sư bán dẫn đến năm 2030, trong khi mỗi năm chỉ khoảng 500–600 sinh viên tốt nghiệp ngành bán dẫn. Hải Phòng đã ban hành Nghị quyết số 16/2025/NQ-HĐND về chính sách nhân lực vi mạch bán dẫn, AI giai đoạn 2025–2030, mục tiêu trở thành 1 trong 3 trung tâm đào tạo nhân lực bán dẫn hàng đầu cả nước. </w:t>
            </w:r>
          </w:p>
        </w:tc>
        <w:tc>
          <w:tcPr>
            <w:tcW w:w="5814" w:type="dxa"/>
            <w:tcBorders>
              <w:top w:val="single" w:color="000000" w:sz="4" w:space="0"/>
              <w:left w:val="single" w:color="000000" w:sz="4" w:space="0"/>
              <w:bottom w:val="single" w:color="000000" w:sz="4" w:space="0"/>
              <w:right w:val="single" w:color="000000" w:sz="4" w:space="0"/>
            </w:tcBorders>
          </w:tcPr>
          <w:p w14:paraId="4534958C">
            <w:pPr>
              <w:spacing w:before="20" w:after="20" w:line="264" w:lineRule="auto"/>
              <w:rPr>
                <w:i/>
                <w:iCs/>
                <w:sz w:val="24"/>
                <w:szCs w:val="24"/>
                <w:highlight w:val="yellow"/>
              </w:rPr>
            </w:pPr>
          </w:p>
        </w:tc>
      </w:tr>
      <w:tr w14:paraId="13D3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53"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4C736562">
            <w:pPr>
              <w:spacing w:before="20" w:after="20" w:line="264" w:lineRule="auto"/>
            </w:pPr>
            <w:r>
              <w:rPr>
                <w:b/>
                <w:bCs/>
                <w:sz w:val="24"/>
                <w:szCs w:val="24"/>
              </w:rPr>
              <w:t>3. Câu hỏi KHCN</w:t>
            </w:r>
          </w:p>
        </w:tc>
        <w:tc>
          <w:tcPr>
            <w:tcW w:w="6026"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02054635">
            <w:pPr>
              <w:pStyle w:val="17"/>
              <w:numPr>
                <w:ilvl w:val="0"/>
                <w:numId w:val="1"/>
              </w:numPr>
              <w:spacing w:before="20" w:after="20" w:line="264" w:lineRule="auto"/>
              <w:jc w:val="both"/>
              <w:rPr>
                <w:sz w:val="24"/>
                <w:szCs w:val="24"/>
              </w:rPr>
            </w:pPr>
            <w:r>
              <w:rPr>
                <w:sz w:val="24"/>
                <w:szCs w:val="24"/>
              </w:rPr>
              <w:t>(1) Phương pháp nào phát hiện sớm tài năng KHCN từ bậc phổ thông, đại học?</w:t>
            </w:r>
          </w:p>
          <w:p w14:paraId="1F631E6C">
            <w:pPr>
              <w:pStyle w:val="17"/>
              <w:numPr>
                <w:ilvl w:val="0"/>
                <w:numId w:val="1"/>
              </w:numPr>
              <w:spacing w:before="20" w:after="20" w:line="264" w:lineRule="auto"/>
              <w:jc w:val="both"/>
              <w:rPr>
                <w:sz w:val="24"/>
                <w:szCs w:val="24"/>
              </w:rPr>
            </w:pPr>
            <w:r>
              <w:rPr>
                <w:sz w:val="24"/>
                <w:szCs w:val="24"/>
              </w:rPr>
              <w:t>(2) Mô hình đào tạo theo đặt hàng DN – trường nào gắn trực tiếp với các bài toán lớn của thành phố?</w:t>
            </w:r>
          </w:p>
          <w:p w14:paraId="3892CD6F">
            <w:pPr>
              <w:pStyle w:val="17"/>
              <w:numPr>
                <w:ilvl w:val="0"/>
                <w:numId w:val="1"/>
              </w:numPr>
              <w:spacing w:before="20" w:after="20" w:line="264" w:lineRule="auto"/>
              <w:jc w:val="both"/>
              <w:rPr>
                <w:sz w:val="24"/>
                <w:szCs w:val="24"/>
              </w:rPr>
            </w:pPr>
            <w:r>
              <w:rPr>
                <w:sz w:val="24"/>
                <w:szCs w:val="24"/>
              </w:rPr>
              <w:t>(3) Cơ chế nào thu hút chuyên gia, nhà khoa học, người Việt ở nước ngoài về làm việc?</w:t>
            </w:r>
          </w:p>
        </w:tc>
        <w:tc>
          <w:tcPr>
            <w:tcW w:w="5814" w:type="dxa"/>
            <w:tcBorders>
              <w:top w:val="single" w:color="000000" w:sz="4" w:space="0"/>
              <w:left w:val="single" w:color="000000" w:sz="4" w:space="0"/>
              <w:bottom w:val="single" w:color="000000" w:sz="4" w:space="0"/>
              <w:right w:val="single" w:color="000000" w:sz="4" w:space="0"/>
            </w:tcBorders>
          </w:tcPr>
          <w:p w14:paraId="72DFEEA4">
            <w:pPr>
              <w:pStyle w:val="17"/>
              <w:spacing w:before="20" w:after="20" w:line="264" w:lineRule="auto"/>
              <w:ind w:left="200"/>
              <w:rPr>
                <w:sz w:val="24"/>
                <w:szCs w:val="24"/>
              </w:rPr>
            </w:pPr>
          </w:p>
        </w:tc>
      </w:tr>
      <w:tr w14:paraId="644C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53"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22141071">
            <w:pPr>
              <w:spacing w:before="20" w:after="20" w:line="264" w:lineRule="auto"/>
            </w:pPr>
            <w:r>
              <w:rPr>
                <w:b/>
                <w:bCs/>
                <w:sz w:val="24"/>
                <w:szCs w:val="24"/>
              </w:rPr>
              <w:t>4. Sản phẩm, ngành nghề mới</w:t>
            </w:r>
          </w:p>
        </w:tc>
        <w:tc>
          <w:tcPr>
            <w:tcW w:w="6026"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76C773A6">
            <w:pPr>
              <w:pStyle w:val="17"/>
              <w:numPr>
                <w:ilvl w:val="0"/>
                <w:numId w:val="1"/>
              </w:numPr>
              <w:spacing w:before="20" w:after="20" w:line="264" w:lineRule="auto"/>
              <w:jc w:val="both"/>
              <w:rPr>
                <w:sz w:val="24"/>
                <w:szCs w:val="24"/>
              </w:rPr>
            </w:pPr>
            <w:r>
              <w:rPr>
                <w:sz w:val="24"/>
                <w:szCs w:val="24"/>
              </w:rPr>
              <w:t>Sản phẩm: chương trình đào tạo theo đặt hàng gắn với các bài toán 1–6, 8, 9; cơ sở dữ liệu nhân tài; cơ chế thu hút chuyên gia.</w:t>
            </w:r>
          </w:p>
          <w:p w14:paraId="5CAC94C6">
            <w:pPr>
              <w:pStyle w:val="17"/>
              <w:numPr>
                <w:ilvl w:val="0"/>
                <w:numId w:val="1"/>
              </w:numPr>
              <w:spacing w:before="20" w:after="20" w:line="264" w:lineRule="auto"/>
              <w:jc w:val="both"/>
              <w:rPr>
                <w:sz w:val="24"/>
                <w:szCs w:val="24"/>
              </w:rPr>
            </w:pPr>
            <w:r>
              <w:rPr>
                <w:sz w:val="24"/>
                <w:szCs w:val="24"/>
              </w:rPr>
              <w:t>Giá trị: nguồn nhân lực cho ngành nghề mới; hình thành nhóm nghiên cứu mạnh.</w:t>
            </w:r>
          </w:p>
        </w:tc>
        <w:tc>
          <w:tcPr>
            <w:tcW w:w="5814" w:type="dxa"/>
            <w:tcBorders>
              <w:top w:val="single" w:color="000000" w:sz="4" w:space="0"/>
              <w:left w:val="single" w:color="000000" w:sz="4" w:space="0"/>
              <w:bottom w:val="single" w:color="000000" w:sz="4" w:space="0"/>
              <w:right w:val="single" w:color="000000" w:sz="4" w:space="0"/>
            </w:tcBorders>
          </w:tcPr>
          <w:p w14:paraId="63D4584E">
            <w:pPr>
              <w:pStyle w:val="17"/>
              <w:spacing w:before="20" w:after="20" w:line="264" w:lineRule="auto"/>
              <w:ind w:left="200"/>
              <w:rPr>
                <w:sz w:val="24"/>
                <w:szCs w:val="24"/>
              </w:rPr>
            </w:pPr>
          </w:p>
        </w:tc>
      </w:tr>
      <w:tr w14:paraId="3575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53"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66502856">
            <w:pPr>
              <w:spacing w:before="20" w:after="20" w:line="264" w:lineRule="auto"/>
            </w:pPr>
            <w:r>
              <w:rPr>
                <w:b/>
                <w:bCs/>
                <w:sz w:val="24"/>
                <w:szCs w:val="24"/>
              </w:rPr>
              <w:t>5. Giá trị kinh tế ước tính</w:t>
            </w:r>
          </w:p>
        </w:tc>
        <w:tc>
          <w:tcPr>
            <w:tcW w:w="6026"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2C285BC9">
            <w:pPr>
              <w:pStyle w:val="17"/>
              <w:numPr>
                <w:ilvl w:val="0"/>
                <w:numId w:val="1"/>
              </w:numPr>
              <w:spacing w:before="20" w:after="20" w:line="264" w:lineRule="auto"/>
              <w:jc w:val="both"/>
              <w:rPr>
                <w:sz w:val="24"/>
                <w:szCs w:val="24"/>
              </w:rPr>
            </w:pPr>
            <w:r>
              <w:rPr>
                <w:sz w:val="24"/>
                <w:szCs w:val="24"/>
              </w:rPr>
              <w:t xml:space="preserve">Đề xuất chỉ tiêu đến năm 2030: đào tạo ≥ 5.000 nhân lực vi mạch bán dẫn, AI (tương đương Đà Nẵng 5.000, TP.HCM 9.000); thu hút ≥ 50 chuyên gia, nhà khoa học; hình thành ≥ 10 nhóm nghiên cứu mạnh gắn với các bài toán lớn. </w:t>
            </w:r>
          </w:p>
        </w:tc>
        <w:tc>
          <w:tcPr>
            <w:tcW w:w="5814" w:type="dxa"/>
            <w:tcBorders>
              <w:top w:val="single" w:color="000000" w:sz="4" w:space="0"/>
              <w:left w:val="single" w:color="000000" w:sz="4" w:space="0"/>
              <w:bottom w:val="single" w:color="000000" w:sz="4" w:space="0"/>
              <w:right w:val="single" w:color="000000" w:sz="4" w:space="0"/>
            </w:tcBorders>
          </w:tcPr>
          <w:p w14:paraId="2356011E">
            <w:pPr>
              <w:spacing w:before="20" w:after="20" w:line="264" w:lineRule="auto"/>
              <w:rPr>
                <w:i/>
                <w:iCs/>
                <w:sz w:val="24"/>
                <w:szCs w:val="24"/>
                <w:highlight w:val="yellow"/>
              </w:rPr>
            </w:pPr>
          </w:p>
        </w:tc>
      </w:tr>
    </w:tbl>
    <w:p w14:paraId="7C90EA72">
      <w:pPr>
        <w:rPr>
          <w:lang w:val="vi-VN"/>
        </w:rPr>
      </w:pPr>
    </w:p>
    <w:sectPr>
      <w:footerReference r:id="rId3" w:type="default"/>
      <w:pgSz w:w="16838" w:h="11906" w:orient="landscape"/>
      <w:pgMar w:top="1134" w:right="1134" w:bottom="1134" w:left="1701"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F1021">
    <w:pPr>
      <w:jc w:val="center"/>
    </w:pPr>
    <w:r>
      <w:rPr>
        <w:sz w:val="20"/>
        <w:szCs w:val="20"/>
      </w:rPr>
      <w:fldChar w:fldCharType="begin"/>
    </w:r>
    <w:r>
      <w:rPr>
        <w:sz w:val="20"/>
        <w:szCs w:val="20"/>
      </w:rPr>
      <w:instrText xml:space="preserve">PAGE</w:instrText>
    </w:r>
    <w:r>
      <w:rPr>
        <w:sz w:val="20"/>
        <w:szCs w:val="20"/>
      </w:rPr>
      <w:fldChar w:fldCharType="separate"/>
    </w:r>
    <w:r>
      <w:rPr>
        <w:sz w:val="20"/>
        <w:szCs w:val="20"/>
      </w:rPr>
      <w:t>1</w:t>
    </w:r>
    <w:r>
      <w:rPr>
        <w:sz w:val="20"/>
        <w:szCs w:val="20"/>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2C261B"/>
    <w:multiLevelType w:val="multilevel"/>
    <w:tmpl w:val="082C261B"/>
    <w:lvl w:ilvl="0" w:tentative="0">
      <w:start w:val="1"/>
      <w:numFmt w:val="bullet"/>
      <w:lvlText w:val="-"/>
      <w:lvlJc w:val="left"/>
      <w:pPr>
        <w:ind w:left="200" w:hanging="1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6DE"/>
    <w:rsid w:val="000435D4"/>
    <w:rsid w:val="00183E11"/>
    <w:rsid w:val="00186C3F"/>
    <w:rsid w:val="00286DAE"/>
    <w:rsid w:val="002B4E28"/>
    <w:rsid w:val="00343DD0"/>
    <w:rsid w:val="00346A76"/>
    <w:rsid w:val="00392CC3"/>
    <w:rsid w:val="003B19AB"/>
    <w:rsid w:val="003F5A95"/>
    <w:rsid w:val="00420C48"/>
    <w:rsid w:val="00494FA4"/>
    <w:rsid w:val="005055D7"/>
    <w:rsid w:val="00532716"/>
    <w:rsid w:val="006E11BE"/>
    <w:rsid w:val="008B5A22"/>
    <w:rsid w:val="00925B6F"/>
    <w:rsid w:val="00AB345D"/>
    <w:rsid w:val="00B01FA7"/>
    <w:rsid w:val="00C25265"/>
    <w:rsid w:val="00C80571"/>
    <w:rsid w:val="00C94D53"/>
    <w:rsid w:val="00CA04D7"/>
    <w:rsid w:val="00CC443D"/>
    <w:rsid w:val="00CF4C27"/>
    <w:rsid w:val="00D702A2"/>
    <w:rsid w:val="00D94AF5"/>
    <w:rsid w:val="00DF2AB9"/>
    <w:rsid w:val="00EA0556"/>
    <w:rsid w:val="00EE3E76"/>
    <w:rsid w:val="00F816DE"/>
    <w:rsid w:val="00FB139E"/>
    <w:rsid w:val="00FE1644"/>
    <w:rsid w:val="038839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6"/>
      <w:szCs w:val="26"/>
      <w:lang w:val="en-US" w:eastAsia="en-US" w:bidi="ar-SA"/>
    </w:rPr>
  </w:style>
  <w:style w:type="paragraph" w:styleId="2">
    <w:name w:val="heading 1"/>
    <w:qFormat/>
    <w:uiPriority w:val="9"/>
    <w:pPr>
      <w:outlineLvl w:val="0"/>
    </w:pPr>
    <w:rPr>
      <w:rFonts w:ascii="Times New Roman" w:hAnsi="Times New Roman" w:eastAsia="Times New Roman" w:cs="Times New Roman"/>
      <w:color w:val="2E74B5"/>
      <w:sz w:val="32"/>
      <w:szCs w:val="32"/>
      <w:lang w:val="en-US" w:eastAsia="en-US" w:bidi="ar-SA"/>
    </w:rPr>
  </w:style>
  <w:style w:type="paragraph" w:styleId="3">
    <w:name w:val="heading 2"/>
    <w:semiHidden/>
    <w:unhideWhenUsed/>
    <w:qFormat/>
    <w:uiPriority w:val="9"/>
    <w:pPr>
      <w:outlineLvl w:val="1"/>
    </w:pPr>
    <w:rPr>
      <w:rFonts w:ascii="Times New Roman" w:hAnsi="Times New Roman" w:eastAsia="Times New Roman" w:cs="Times New Roman"/>
      <w:color w:val="2E74B5"/>
      <w:sz w:val="26"/>
      <w:szCs w:val="26"/>
      <w:lang w:val="en-US" w:eastAsia="en-US" w:bidi="ar-SA"/>
    </w:rPr>
  </w:style>
  <w:style w:type="paragraph" w:styleId="4">
    <w:name w:val="heading 3"/>
    <w:semiHidden/>
    <w:unhideWhenUsed/>
    <w:qFormat/>
    <w:uiPriority w:val="9"/>
    <w:pPr>
      <w:outlineLvl w:val="2"/>
    </w:pPr>
    <w:rPr>
      <w:rFonts w:ascii="Times New Roman" w:hAnsi="Times New Roman" w:eastAsia="Times New Roman" w:cs="Times New Roman"/>
      <w:color w:val="1F4D78"/>
      <w:sz w:val="24"/>
      <w:szCs w:val="24"/>
      <w:lang w:val="en-US" w:eastAsia="en-US" w:bidi="ar-SA"/>
    </w:rPr>
  </w:style>
  <w:style w:type="paragraph" w:styleId="5">
    <w:name w:val="heading 4"/>
    <w:semiHidden/>
    <w:unhideWhenUsed/>
    <w:qFormat/>
    <w:uiPriority w:val="9"/>
    <w:pPr>
      <w:outlineLvl w:val="3"/>
    </w:pPr>
    <w:rPr>
      <w:rFonts w:ascii="Times New Roman" w:hAnsi="Times New Roman" w:eastAsia="Times New Roman" w:cs="Times New Roman"/>
      <w:i/>
      <w:iCs/>
      <w:color w:val="2E74B5"/>
      <w:sz w:val="26"/>
      <w:szCs w:val="26"/>
      <w:lang w:val="en-US" w:eastAsia="en-US" w:bidi="ar-SA"/>
    </w:rPr>
  </w:style>
  <w:style w:type="paragraph" w:styleId="6">
    <w:name w:val="heading 5"/>
    <w:semiHidden/>
    <w:unhideWhenUsed/>
    <w:qFormat/>
    <w:uiPriority w:val="9"/>
    <w:pPr>
      <w:outlineLvl w:val="4"/>
    </w:pPr>
    <w:rPr>
      <w:rFonts w:ascii="Times New Roman" w:hAnsi="Times New Roman" w:eastAsia="Times New Roman" w:cs="Times New Roman"/>
      <w:color w:val="2E74B5"/>
      <w:sz w:val="26"/>
      <w:szCs w:val="26"/>
      <w:lang w:val="en-US" w:eastAsia="en-US" w:bidi="ar-SA"/>
    </w:rPr>
  </w:style>
  <w:style w:type="paragraph" w:styleId="7">
    <w:name w:val="heading 6"/>
    <w:semiHidden/>
    <w:unhideWhenUsed/>
    <w:qFormat/>
    <w:uiPriority w:val="9"/>
    <w:pPr>
      <w:outlineLvl w:val="5"/>
    </w:pPr>
    <w:rPr>
      <w:rFonts w:ascii="Times New Roman" w:hAnsi="Times New Roman" w:eastAsia="Times New Roman" w:cs="Times New Roman"/>
      <w:color w:val="1F4D78"/>
      <w:sz w:val="26"/>
      <w:szCs w:val="26"/>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9"/>
    <w:semiHidden/>
    <w:unhideWhenUsed/>
    <w:qFormat/>
    <w:uiPriority w:val="99"/>
    <w:rPr>
      <w:rFonts w:ascii="Times New Roman" w:hAnsi="Times New Roman" w:eastAsia="Times New Roman" w:cs="Times New Roman"/>
      <w:sz w:val="20"/>
      <w:szCs w:val="20"/>
      <w:lang w:val="en-US" w:eastAsia="en-US" w:bidi="ar-SA"/>
    </w:rPr>
  </w:style>
  <w:style w:type="character" w:styleId="12">
    <w:name w:val="footnote reference"/>
    <w:semiHidden/>
    <w:unhideWhenUsed/>
    <w:qFormat/>
    <w:uiPriority w:val="99"/>
    <w:rPr>
      <w:vertAlign w:val="superscript"/>
    </w:rPr>
  </w:style>
  <w:style w:type="paragraph" w:styleId="13">
    <w:name w:val="footnote text"/>
    <w:link w:val="18"/>
    <w:semiHidden/>
    <w:unhideWhenUsed/>
    <w:qFormat/>
    <w:uiPriority w:val="99"/>
    <w:rPr>
      <w:rFonts w:ascii="Times New Roman" w:hAnsi="Times New Roman" w:eastAsia="Times New Roman" w:cs="Times New Roman"/>
      <w:sz w:val="20"/>
      <w:szCs w:val="20"/>
      <w:lang w:val="en-US" w:eastAsia="en-US" w:bidi="ar-SA"/>
    </w:rPr>
  </w:style>
  <w:style w:type="character" w:styleId="14">
    <w:name w:val="Hyperlink"/>
    <w:unhideWhenUsed/>
    <w:qFormat/>
    <w:uiPriority w:val="99"/>
    <w:rPr>
      <w:color w:val="0563C1"/>
      <w:u w:val="single"/>
    </w:rPr>
  </w:style>
  <w:style w:type="paragraph" w:styleId="15">
    <w:name w:val="Title"/>
    <w:qFormat/>
    <w:uiPriority w:val="10"/>
    <w:rPr>
      <w:rFonts w:ascii="Times New Roman" w:hAnsi="Times New Roman" w:eastAsia="Times New Roman" w:cs="Times New Roman"/>
      <w:sz w:val="56"/>
      <w:szCs w:val="56"/>
      <w:lang w:val="en-US" w:eastAsia="en-US" w:bidi="ar-SA"/>
    </w:rPr>
  </w:style>
  <w:style w:type="paragraph" w:customStyle="1" w:styleId="16">
    <w:name w:val="Strong1"/>
    <w:qFormat/>
    <w:uiPriority w:val="0"/>
    <w:rPr>
      <w:rFonts w:ascii="Times New Roman" w:hAnsi="Times New Roman" w:eastAsia="Times New Roman" w:cs="Times New Roman"/>
      <w:b/>
      <w:bCs/>
      <w:sz w:val="26"/>
      <w:szCs w:val="26"/>
      <w:lang w:val="en-US" w:eastAsia="en-US" w:bidi="ar-SA"/>
    </w:rPr>
  </w:style>
  <w:style w:type="paragraph" w:styleId="17">
    <w:name w:val="List Paragraph"/>
    <w:qFormat/>
    <w:uiPriority w:val="0"/>
    <w:rPr>
      <w:rFonts w:ascii="Times New Roman" w:hAnsi="Times New Roman" w:eastAsia="Times New Roman" w:cs="Times New Roman"/>
      <w:sz w:val="26"/>
      <w:szCs w:val="26"/>
      <w:lang w:val="en-US" w:eastAsia="en-US" w:bidi="ar-SA"/>
    </w:rPr>
  </w:style>
  <w:style w:type="character" w:customStyle="1" w:styleId="18">
    <w:name w:val="Footnote Text Char"/>
    <w:link w:val="13"/>
    <w:semiHidden/>
    <w:unhideWhenUsed/>
    <w:qFormat/>
    <w:uiPriority w:val="99"/>
    <w:rPr>
      <w:sz w:val="20"/>
      <w:szCs w:val="20"/>
    </w:rPr>
  </w:style>
  <w:style w:type="character" w:customStyle="1" w:styleId="19">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361</Words>
  <Characters>1293</Characters>
  <Lines>11</Lines>
  <Paragraphs>3</Paragraphs>
  <TotalTime>2</TotalTime>
  <ScaleCrop>false</ScaleCrop>
  <LinksUpToDate>false</LinksUpToDate>
  <CharactersWithSpaces>1638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2026-10-15T11:02:00Z</dcterms:created>
  <dc:creator>Un-named</dc:creator>
  <cp:lastModifiedBy>PC Nhung</cp:lastModifiedBy>
  <dcterms:modified xsi:type="dcterms:W3CDTF">2026-10-16T08:06:16Z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2026-10-15T10:07:54Z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4c604c23-db45-4730-9f25-8faa108b6403</vt:lpwstr>
  </property>
  <property fmtid="{D5CDD505-2E9C-101B-9397-08002B2CF9AE}" pid="7" name="MSIP_Label_defa4170-0d19-0005-0004-bc88714345d2_ActionId">
    <vt:lpwstr>de97792a-b9a3-4c20-b557-630b1de40fd7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ProductBuildVer">
    <vt:lpwstr>1033-12.1.0.29162</vt:lpwstr>
  </property>
  <property fmtid="{D5CDD505-2E9C-101B-9397-08002B2CF9AE}" pid="11" name="ICV">
    <vt:lpwstr>2B468B19A40246EC8090EBA071C459DA_13</vt:lpwstr>
  </property>
</Properties>
</file>